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9CC" w:rsidRPr="005429CC" w:rsidRDefault="005429CC" w:rsidP="005429CC">
      <w:pPr>
        <w:spacing w:after="120" w:line="360" w:lineRule="auto"/>
        <w:ind w:left="0" w:right="0" w:firstLine="0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5429CC">
        <w:rPr>
          <w:rFonts w:ascii="GHEA Grapalat" w:eastAsia="Calibri" w:hAnsi="GHEA Grapalat" w:cs="Sylfaen"/>
          <w:b/>
          <w:sz w:val="24"/>
          <w:szCs w:val="24"/>
          <w:lang w:val="hy-AM"/>
        </w:rPr>
        <w:t>ՀԻՄՆԱՎՈՐՈՒՄ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</w:p>
    <w:p w:rsidR="005429CC" w:rsidRPr="004C5A44" w:rsidRDefault="005429CC" w:rsidP="00063ED8">
      <w:pPr>
        <w:shd w:val="clear" w:color="auto" w:fill="FFFFFF"/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</w:pPr>
      <w:proofErr w:type="gramStart"/>
      <w:r w:rsidRPr="004C5A44">
        <w:rPr>
          <w:rFonts w:ascii="GHEA Grapalat" w:eastAsia="Times New Roman" w:hAnsi="GHEA Grapalat" w:cs="Times New Roman"/>
          <w:b/>
          <w:sz w:val="24"/>
          <w:szCs w:val="24"/>
          <w:lang w:val="fr-FR" w:eastAsia="ru-RU"/>
        </w:rPr>
        <w:t>«</w:t>
      </w:r>
      <w:r w:rsidR="00063ED8" w:rsidRPr="004C5A44">
        <w:rPr>
          <w:rFonts w:ascii="GHEA Grapalat" w:hAnsi="GHEA Grapalat"/>
          <w:b/>
          <w:bCs/>
          <w:color w:val="000000"/>
          <w:sz w:val="24"/>
          <w:szCs w:val="24"/>
        </w:rPr>
        <w:t>ՇԱՐՈՒՆԱԿԱԿԱՆ</w:t>
      </w:r>
      <w:proofErr w:type="gramEnd"/>
      <w:r w:rsidR="00063ED8" w:rsidRPr="004C5A44">
        <w:rPr>
          <w:rFonts w:ascii="GHEA Grapalat" w:hAnsi="GHEA Grapalat"/>
          <w:b/>
          <w:bCs/>
          <w:color w:val="000000"/>
          <w:sz w:val="24"/>
          <w:szCs w:val="24"/>
        </w:rPr>
        <w:t xml:space="preserve"> ՄԱՍՆԱԳԻՏԱԿԱՆ ԶԱՐԳԱՑՈՒՄՆ ԱՊԱՀՈՎՈՂ ՄԻՋՈՑԱՌՈՒՄՆԵՐԻ ԿԱԶՄԱԿԵՐՊՄԱՆԸ, ԻՐԱԿԱՆԱՑՄԱՆԸ ԵՎ ՄԱՍՆԱԿՑՈՒԹՅԱՆԸ ՆԵՐԿԱՅԱՑՎՈՂ </w:t>
      </w:r>
      <w:r w:rsidR="00063ED8" w:rsidRPr="004C5A44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ՊԱՀԱՆՋՆԵՐԸ</w:t>
      </w:r>
      <w:r w:rsidR="00063ED8" w:rsidRPr="004C5A44">
        <w:rPr>
          <w:rFonts w:ascii="GHEA Grapalat" w:hAnsi="GHEA Grapalat"/>
          <w:b/>
          <w:bCs/>
          <w:color w:val="000000"/>
          <w:sz w:val="24"/>
          <w:szCs w:val="24"/>
        </w:rPr>
        <w:t xml:space="preserve"> ԵՎ ՇԱՐՈՒՆԱԿԱԿԱՆ ՄԱՍՆԱԳԻՏԱԿԱՆ ԶԱՐԳԱՑՄԱՆ ՅՈՒՐԱՔԱՆՉՅՈՒՐ ՏԵՍԱԿԻ ԳԾՈՎ ՇՆՈՐՀՎՈՂ ԿՐԵԴԻՏՆԵՐԻ ՔԱՆԱԿԸ ԵՎ ԴՐԱՆՑ ՇՆՈՐՀՄԱՆ </w:t>
      </w:r>
      <w:r w:rsidR="00063ED8" w:rsidRPr="004C5A44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ՉԱՓՈՐՈՇԻՉՆԵՐԸ</w:t>
      </w:r>
      <w:r w:rsidR="00063ED8" w:rsidRPr="004C5A44">
        <w:rPr>
          <w:rFonts w:ascii="GHEA Grapalat" w:hAnsi="GHEA Grapalat"/>
          <w:b/>
          <w:bCs/>
          <w:color w:val="000000"/>
          <w:sz w:val="24"/>
          <w:szCs w:val="24"/>
        </w:rPr>
        <w:t xml:space="preserve"> ՀԱՍՏԱՏԵԼՈՒ ՄԱՍԻՆ</w:t>
      </w:r>
      <w:r w:rsidRPr="004C5A4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</w:t>
      </w:r>
      <w:r w:rsidR="00063ED8" w:rsidRPr="004C5A44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ՀԱՅԱՍՏԱՆԻ ՀԱՆՐԱՊԵՏՈՒԹՅԱՆ ՔԱՂԱՔԱՇԻՆՈՒԹՅԱՆ ԿՈՄԻՏԵԻ ՆԱԽԱԳԱՀԻ ՀՐԱՄԱՆԻ ՆԱԽԱԳԾԻ </w:t>
      </w:r>
    </w:p>
    <w:p w:rsidR="005429CC" w:rsidRPr="005429CC" w:rsidRDefault="005429CC" w:rsidP="005429CC">
      <w:pPr>
        <w:shd w:val="clear" w:color="auto" w:fill="FFFFFF"/>
        <w:spacing w:line="360" w:lineRule="auto"/>
        <w:ind w:left="-540" w:right="0" w:firstLine="0"/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</w:pPr>
    </w:p>
    <w:p w:rsidR="005429CC" w:rsidRDefault="005429CC" w:rsidP="005429CC">
      <w:pPr>
        <w:numPr>
          <w:ilvl w:val="0"/>
          <w:numId w:val="3"/>
        </w:numPr>
        <w:spacing w:after="200" w:line="360" w:lineRule="auto"/>
        <w:ind w:right="0"/>
        <w:contextualSpacing/>
        <w:jc w:val="both"/>
        <w:rPr>
          <w:rFonts w:ascii="GHEA Grapalat" w:eastAsia="Calibri" w:hAnsi="GHEA Grapalat" w:cs="Times New Roman"/>
          <w:b/>
          <w:sz w:val="24"/>
          <w:szCs w:val="24"/>
          <w:lang w:val="hy-AM" w:eastAsia="ru-RU"/>
        </w:rPr>
      </w:pPr>
      <w:r w:rsidRPr="005429CC">
        <w:rPr>
          <w:rFonts w:ascii="GHEA Grapalat" w:eastAsia="Calibri" w:hAnsi="GHEA Grapalat" w:cs="Times New Roman"/>
          <w:b/>
          <w:sz w:val="24"/>
          <w:szCs w:val="24"/>
          <w:lang w:val="hy-AM" w:eastAsia="ru-RU"/>
        </w:rPr>
        <w:t xml:space="preserve">Անհրաժեշտությունը. </w:t>
      </w:r>
    </w:p>
    <w:p w:rsidR="004776B1" w:rsidRDefault="004776B1" w:rsidP="004776B1">
      <w:pPr>
        <w:spacing w:after="200" w:line="360" w:lineRule="auto"/>
        <w:ind w:left="0" w:right="0" w:firstLine="396"/>
        <w:contextualSpacing/>
        <w:jc w:val="both"/>
        <w:rPr>
          <w:rFonts w:ascii="GHEA Grapalat" w:hAnsi="GHEA Grapalat"/>
          <w:bCs/>
          <w:iCs/>
          <w:sz w:val="24"/>
          <w:szCs w:val="24"/>
        </w:rPr>
      </w:pPr>
      <w:r>
        <w:rPr>
          <w:rFonts w:ascii="GHEA Grapalat" w:hAnsi="GHEA Grapalat"/>
          <w:bCs/>
          <w:iCs/>
          <w:sz w:val="24"/>
          <w:szCs w:val="24"/>
        </w:rPr>
        <w:t xml:space="preserve">Նախագծի անհրաժեշտությունը պայմանավորված է 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 xml:space="preserve">Հայաստանի Հանրապետության Ազգային ժողովի կողմից </w:t>
      </w:r>
      <w:r w:rsidRPr="00A32476">
        <w:rPr>
          <w:rFonts w:ascii="GHEA Grapalat" w:hAnsi="GHEA Grapalat"/>
          <w:sz w:val="24"/>
          <w:szCs w:val="24"/>
          <w:lang w:val="hy-AM"/>
        </w:rPr>
        <w:t>Լիցենզավորման մասին» օրենքում փոփոխություններ և լրացումներ կատարելու մասին</w:t>
      </w:r>
      <w:r w:rsidRPr="00A32476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 xml:space="preserve"> 2022 թվականի </w:t>
      </w:r>
      <w:r w:rsidRPr="00A32476">
        <w:rPr>
          <w:rFonts w:ascii="GHEA Grapalat" w:hAnsi="GHEA Grapalat"/>
          <w:bCs/>
          <w:iCs/>
          <w:sz w:val="24"/>
          <w:szCs w:val="24"/>
        </w:rPr>
        <w:t>դեկտեմբեր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 xml:space="preserve">ի </w:t>
      </w:r>
      <w:r w:rsidRPr="00A32476">
        <w:rPr>
          <w:rFonts w:ascii="GHEA Grapalat" w:hAnsi="GHEA Grapalat"/>
          <w:bCs/>
          <w:iCs/>
          <w:sz w:val="24"/>
          <w:szCs w:val="24"/>
          <w:lang w:val="fr-FR"/>
        </w:rPr>
        <w:t>16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>-ի</w:t>
      </w:r>
      <w:r w:rsidRPr="00A32476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32476">
        <w:rPr>
          <w:rFonts w:ascii="GHEA Grapalat" w:hAnsi="GHEA Grapalat"/>
          <w:sz w:val="24"/>
          <w:szCs w:val="24"/>
        </w:rPr>
        <w:t>ՀՕ</w:t>
      </w:r>
      <w:r w:rsidRPr="00A32476">
        <w:rPr>
          <w:rFonts w:ascii="GHEA Grapalat" w:hAnsi="GHEA Grapalat"/>
          <w:sz w:val="24"/>
          <w:szCs w:val="24"/>
          <w:lang w:val="fr-FR"/>
        </w:rPr>
        <w:t>-431-</w:t>
      </w:r>
      <w:r w:rsidRPr="00A32476">
        <w:rPr>
          <w:rFonts w:ascii="GHEA Grapalat" w:hAnsi="GHEA Grapalat"/>
          <w:sz w:val="24"/>
          <w:szCs w:val="24"/>
        </w:rPr>
        <w:t>Ն</w:t>
      </w:r>
      <w:r w:rsidRPr="00A32476">
        <w:rPr>
          <w:rFonts w:ascii="GHEA Grapalat" w:hAnsi="GHEA Grapalat"/>
          <w:sz w:val="24"/>
          <w:szCs w:val="24"/>
          <w:lang w:val="hy-AM"/>
        </w:rPr>
        <w:t>, «Պետական տուրքի մասին» օրենքում փոփոխություններ և լրացումներ կատարելու մասին»</w:t>
      </w:r>
      <w:r w:rsidRPr="00A32476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Pr="00A32476">
        <w:rPr>
          <w:rFonts w:ascii="GHEA Grapalat" w:hAnsi="GHEA Grapalat"/>
          <w:bCs/>
          <w:iCs/>
          <w:sz w:val="24"/>
          <w:szCs w:val="24"/>
        </w:rPr>
        <w:t>դեկտեմբեր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 xml:space="preserve">ի </w:t>
      </w:r>
      <w:r w:rsidRPr="00A32476">
        <w:rPr>
          <w:rFonts w:ascii="GHEA Grapalat" w:hAnsi="GHEA Grapalat"/>
          <w:bCs/>
          <w:iCs/>
          <w:sz w:val="24"/>
          <w:szCs w:val="24"/>
          <w:lang w:val="fr-FR"/>
        </w:rPr>
        <w:t>16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>-ի</w:t>
      </w:r>
      <w:r w:rsidRPr="00A32476">
        <w:rPr>
          <w:rFonts w:ascii="GHEA Grapalat" w:hAnsi="GHEA Grapalat"/>
          <w:bCs/>
          <w:iCs/>
          <w:sz w:val="24"/>
          <w:szCs w:val="24"/>
          <w:lang w:val="fr-FR"/>
        </w:rPr>
        <w:t xml:space="preserve"> </w:t>
      </w:r>
      <w:r w:rsidRPr="00A32476">
        <w:rPr>
          <w:rFonts w:ascii="GHEA Grapalat" w:hAnsi="GHEA Grapalat"/>
          <w:sz w:val="24"/>
          <w:szCs w:val="24"/>
        </w:rPr>
        <w:t>ՀՕ</w:t>
      </w:r>
      <w:r w:rsidRPr="00A32476">
        <w:rPr>
          <w:rFonts w:ascii="GHEA Grapalat" w:hAnsi="GHEA Grapalat"/>
          <w:sz w:val="24"/>
          <w:szCs w:val="24"/>
          <w:lang w:val="fr-FR"/>
        </w:rPr>
        <w:t>-432-</w:t>
      </w:r>
      <w:r w:rsidRPr="00A32476">
        <w:rPr>
          <w:rFonts w:ascii="GHEA Grapalat" w:hAnsi="GHEA Grapalat"/>
          <w:sz w:val="24"/>
          <w:szCs w:val="24"/>
        </w:rPr>
        <w:t>Ն</w:t>
      </w:r>
      <w:r w:rsidRPr="00A32476">
        <w:rPr>
          <w:rFonts w:ascii="GHEA Grapalat" w:hAnsi="GHEA Grapalat"/>
          <w:sz w:val="24"/>
          <w:szCs w:val="24"/>
          <w:lang w:val="hy-AM"/>
        </w:rPr>
        <w:t>, «Քաղաքաշինության մասին» օրենքում փոփոխություններ և լրացումներ կատարելու մասին»</w:t>
      </w:r>
      <w:r w:rsidRPr="00A32476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Pr="00A32476">
        <w:rPr>
          <w:rFonts w:ascii="GHEA Grapalat" w:hAnsi="GHEA Grapalat"/>
          <w:bCs/>
          <w:iCs/>
          <w:sz w:val="24"/>
          <w:szCs w:val="24"/>
        </w:rPr>
        <w:t>դեկտեմբեր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 xml:space="preserve">ի </w:t>
      </w:r>
      <w:r w:rsidRPr="00A32476">
        <w:rPr>
          <w:rFonts w:ascii="GHEA Grapalat" w:hAnsi="GHEA Grapalat"/>
          <w:bCs/>
          <w:iCs/>
          <w:sz w:val="24"/>
          <w:szCs w:val="24"/>
          <w:lang w:val="fr-FR"/>
        </w:rPr>
        <w:t>16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>-ի</w:t>
      </w:r>
      <w:r w:rsidRPr="00A32476">
        <w:rPr>
          <w:rFonts w:ascii="GHEA Grapalat" w:hAnsi="GHEA Grapalat"/>
          <w:bCs/>
          <w:iCs/>
          <w:sz w:val="24"/>
          <w:szCs w:val="24"/>
          <w:lang w:val="fr-FR"/>
        </w:rPr>
        <w:t xml:space="preserve"> </w:t>
      </w:r>
      <w:r w:rsidRPr="00A32476">
        <w:rPr>
          <w:rFonts w:ascii="GHEA Grapalat" w:hAnsi="GHEA Grapalat"/>
          <w:sz w:val="24"/>
          <w:szCs w:val="24"/>
        </w:rPr>
        <w:t>ՀՕ</w:t>
      </w:r>
      <w:r w:rsidRPr="00A32476">
        <w:rPr>
          <w:rFonts w:ascii="GHEA Grapalat" w:hAnsi="GHEA Grapalat"/>
          <w:sz w:val="24"/>
          <w:szCs w:val="24"/>
          <w:lang w:val="fr-FR"/>
        </w:rPr>
        <w:t>-433-</w:t>
      </w:r>
      <w:r w:rsidRPr="00A32476">
        <w:rPr>
          <w:rFonts w:ascii="GHEA Grapalat" w:hAnsi="GHEA Grapalat"/>
          <w:sz w:val="24"/>
          <w:szCs w:val="24"/>
        </w:rPr>
        <w:t>Ն</w:t>
      </w:r>
      <w:r w:rsidRPr="00A32476">
        <w:rPr>
          <w:rFonts w:ascii="GHEA Grapalat" w:hAnsi="GHEA Grapalat"/>
          <w:sz w:val="24"/>
          <w:szCs w:val="24"/>
          <w:lang w:val="hy-AM"/>
        </w:rPr>
        <w:t xml:space="preserve"> և «Քաղաքաշինության բնագավառում իրավախախտումների համար պատասխանատվության մասին» օրենքում փոփոխություն և լրացումներ կատարելու մասին»</w:t>
      </w:r>
      <w:r w:rsidRPr="00A32476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Pr="00A32476">
        <w:rPr>
          <w:rFonts w:ascii="GHEA Grapalat" w:hAnsi="GHEA Grapalat"/>
          <w:bCs/>
          <w:iCs/>
          <w:sz w:val="24"/>
          <w:szCs w:val="24"/>
        </w:rPr>
        <w:t>դեկտեմբեր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 xml:space="preserve">ի </w:t>
      </w:r>
      <w:r w:rsidRPr="00A32476">
        <w:rPr>
          <w:rFonts w:ascii="GHEA Grapalat" w:hAnsi="GHEA Grapalat"/>
          <w:bCs/>
          <w:iCs/>
          <w:sz w:val="24"/>
          <w:szCs w:val="24"/>
          <w:lang w:val="fr-FR"/>
        </w:rPr>
        <w:t>16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>-ի</w:t>
      </w:r>
      <w:r w:rsidRPr="00A32476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32476">
        <w:rPr>
          <w:rFonts w:ascii="GHEA Grapalat" w:hAnsi="GHEA Grapalat"/>
          <w:sz w:val="24"/>
          <w:szCs w:val="24"/>
        </w:rPr>
        <w:t>ՀՕ</w:t>
      </w:r>
      <w:r w:rsidRPr="00A32476">
        <w:rPr>
          <w:rFonts w:ascii="GHEA Grapalat" w:hAnsi="GHEA Grapalat"/>
          <w:sz w:val="24"/>
          <w:szCs w:val="24"/>
          <w:lang w:val="fr-FR"/>
        </w:rPr>
        <w:t>-434-</w:t>
      </w:r>
      <w:r w:rsidRPr="00A32476">
        <w:rPr>
          <w:rFonts w:ascii="GHEA Grapalat" w:hAnsi="GHEA Grapalat"/>
          <w:sz w:val="24"/>
          <w:szCs w:val="24"/>
        </w:rPr>
        <w:t>Ն</w:t>
      </w:r>
      <w:r w:rsidRPr="00A3247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>օրենք</w:t>
      </w:r>
      <w:r w:rsidRPr="00A32476">
        <w:rPr>
          <w:rFonts w:ascii="GHEA Grapalat" w:hAnsi="GHEA Grapalat"/>
          <w:bCs/>
          <w:iCs/>
          <w:sz w:val="24"/>
          <w:szCs w:val="24"/>
        </w:rPr>
        <w:t>ներ</w:t>
      </w:r>
      <w:r>
        <w:rPr>
          <w:rFonts w:ascii="GHEA Grapalat" w:hAnsi="GHEA Grapalat"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Cs/>
          <w:iCs/>
          <w:sz w:val="24"/>
          <w:szCs w:val="24"/>
        </w:rPr>
        <w:t xml:space="preserve"> (այսուհետ՝ Օրենքներ) </w:t>
      </w:r>
      <w:r>
        <w:rPr>
          <w:rFonts w:ascii="GHEA Grapalat" w:hAnsi="GHEA Grapalat"/>
          <w:bCs/>
          <w:iCs/>
          <w:sz w:val="24"/>
          <w:szCs w:val="24"/>
          <w:lang w:val="hy-AM"/>
        </w:rPr>
        <w:t>ընդունմամբ</w:t>
      </w:r>
      <w:r>
        <w:rPr>
          <w:rFonts w:ascii="GHEA Grapalat" w:hAnsi="GHEA Grapalat"/>
          <w:bCs/>
          <w:iCs/>
          <w:sz w:val="24"/>
          <w:szCs w:val="24"/>
        </w:rPr>
        <w:t>:</w:t>
      </w:r>
    </w:p>
    <w:p w:rsidR="005429CC" w:rsidRPr="005429CC" w:rsidRDefault="005429CC" w:rsidP="0048304E">
      <w:pPr>
        <w:tabs>
          <w:tab w:val="left" w:pos="360"/>
        </w:tabs>
        <w:spacing w:line="360" w:lineRule="auto"/>
        <w:ind w:left="0" w:right="0" w:firstLine="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    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Ներկայացված նախագծով առաջարկվող իրավակարգավորումների անհրաժեշտությունը  պայմանավորված է</w:t>
      </w:r>
      <w:r w:rsidR="005C7DBD">
        <w:rPr>
          <w:rFonts w:ascii="GHEA Grapalat" w:eastAsia="Calibri" w:hAnsi="GHEA Grapalat" w:cs="Times New Roman"/>
          <w:sz w:val="24"/>
          <w:szCs w:val="24"/>
        </w:rPr>
        <w:t xml:space="preserve"> նաև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.</w:t>
      </w:r>
    </w:p>
    <w:p w:rsidR="005429CC" w:rsidRPr="005429CC" w:rsidRDefault="00101725" w:rsidP="005429CC">
      <w:pPr>
        <w:numPr>
          <w:ilvl w:val="0"/>
          <w:numId w:val="2"/>
        </w:numPr>
        <w:spacing w:after="200" w:line="360" w:lineRule="auto"/>
        <w:ind w:right="0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Calibri" w:hAnsi="GHEA Grapalat" w:cs="Times New Roman"/>
          <w:sz w:val="24"/>
          <w:szCs w:val="24"/>
          <w:lang w:val="hy-AM" w:eastAsia="ru-RU"/>
        </w:rPr>
        <w:t>մ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 w:eastAsia="ru-RU"/>
        </w:rPr>
        <w:t>ասնագետների որակավորման բարձրացման նպատակով քաղաքաշինության բնագավառում շարունակական մասնագիտական զարգացման համակարգի ներդրմամբ,</w:t>
      </w:r>
    </w:p>
    <w:p w:rsidR="005429CC" w:rsidRPr="005429CC" w:rsidRDefault="005429CC" w:rsidP="005429CC">
      <w:pPr>
        <w:numPr>
          <w:ilvl w:val="0"/>
          <w:numId w:val="2"/>
        </w:numPr>
        <w:spacing w:after="200" w:line="360" w:lineRule="auto"/>
        <w:ind w:right="0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 w:eastAsia="ru-RU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 w:eastAsia="ru-RU"/>
        </w:rPr>
        <w:t>շարունակական մասնագիտական զարգացման գործառույթի ապահովմամբ՝ հասարակական կազմակերպությունների, բարձրագույն կրթության հաստատությունների միջոցով, որոնք կբավարարեն օրենսդրությամբ սահմանված պահանջները,</w:t>
      </w:r>
    </w:p>
    <w:p w:rsidR="005429CC" w:rsidRPr="005429CC" w:rsidRDefault="00101725" w:rsidP="005429CC">
      <w:pPr>
        <w:numPr>
          <w:ilvl w:val="0"/>
          <w:numId w:val="2"/>
        </w:numPr>
        <w:spacing w:after="200" w:line="360" w:lineRule="auto"/>
        <w:ind w:right="0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Calibri" w:hAnsi="GHEA Grapalat" w:cs="Times New Roman"/>
          <w:sz w:val="24"/>
          <w:szCs w:val="24"/>
          <w:lang w:eastAsia="ru-RU"/>
        </w:rPr>
        <w:t>լ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 w:eastAsia="ru-RU"/>
        </w:rPr>
        <w:t>իցենզավորված կազմակերպությունների ռեյտինգավորման ցանկի ստեղծմամբ,</w:t>
      </w:r>
    </w:p>
    <w:p w:rsidR="005429CC" w:rsidRPr="005429CC" w:rsidRDefault="00101725" w:rsidP="005429CC">
      <w:pPr>
        <w:numPr>
          <w:ilvl w:val="0"/>
          <w:numId w:val="2"/>
        </w:numPr>
        <w:spacing w:after="200" w:line="360" w:lineRule="auto"/>
        <w:ind w:right="0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Calibri" w:hAnsi="GHEA Grapalat" w:cs="Times New Roman"/>
          <w:bCs/>
          <w:sz w:val="24"/>
          <w:szCs w:val="24"/>
          <w:lang w:val="hy-AM" w:eastAsia="ru-RU"/>
        </w:rPr>
        <w:t>լ</w:t>
      </w:r>
      <w:r w:rsidR="005429CC" w:rsidRPr="005429CC">
        <w:rPr>
          <w:rFonts w:ascii="GHEA Grapalat" w:eastAsia="Calibri" w:hAnsi="GHEA Grapalat" w:cs="Times New Roman"/>
          <w:bCs/>
          <w:sz w:val="24"/>
          <w:szCs w:val="24"/>
          <w:lang w:val="hy-AM" w:eastAsia="ru-RU"/>
        </w:rPr>
        <w:t>իցենզավորված տնտեսվարող սուբյեկտների և ՇՄԶ հավաստագրված մասնագետների</w:t>
      </w:r>
      <w:r w:rsidR="005429CC" w:rsidRPr="005429CC">
        <w:rPr>
          <w:rFonts w:ascii="GHEA Grapalat" w:eastAsia="Calibri" w:hAnsi="GHEA Grapalat" w:cs="Times New Roman"/>
          <w:b/>
          <w:bCs/>
          <w:sz w:val="24"/>
          <w:szCs w:val="24"/>
          <w:lang w:val="hy-AM" w:eastAsia="ru-RU"/>
        </w:rPr>
        <w:t xml:space="preserve">  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 w:eastAsia="ru-RU"/>
        </w:rPr>
        <w:t xml:space="preserve"> ռեգիստրի ստեղծմամբ: </w:t>
      </w:r>
    </w:p>
    <w:p w:rsidR="005429CC" w:rsidRPr="005429CC" w:rsidRDefault="005429CC" w:rsidP="005429CC">
      <w:pPr>
        <w:spacing w:line="360" w:lineRule="auto"/>
        <w:ind w:left="0" w:right="0" w:firstLine="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lastRenderedPageBreak/>
        <w:t xml:space="preserve">     Ոչ լիարժեք և հստակ սահմանված լիցենզավորման և որակավորման պայմաններն ու պահանջները քաղաքաշինության բնագավառում գործող տնտեսվարող սուբյեկտների համար ստեղծում են անհավասար մրցակցային դաշտ, ինչը հակասում է լիցենզավորման գործընթացի օրենքով սահմանված նպատակներին: </w:t>
      </w:r>
    </w:p>
    <w:p w:rsidR="005429CC" w:rsidRPr="005429CC" w:rsidRDefault="005429CC" w:rsidP="005429CC">
      <w:pPr>
        <w:spacing w:line="360" w:lineRule="auto"/>
        <w:ind w:left="0" w:right="0" w:firstLine="0"/>
        <w:jc w:val="both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</w:p>
    <w:p w:rsidR="005429CC" w:rsidRPr="00DF35FE" w:rsidRDefault="005429CC" w:rsidP="00DF35FE">
      <w:pPr>
        <w:pStyle w:val="ListParagraph"/>
        <w:numPr>
          <w:ilvl w:val="0"/>
          <w:numId w:val="3"/>
        </w:numPr>
        <w:spacing w:after="200" w:line="360" w:lineRule="auto"/>
        <w:ind w:right="0"/>
        <w:jc w:val="both"/>
        <w:rPr>
          <w:rFonts w:ascii="GHEA Grapalat" w:eastAsia="Calibri" w:hAnsi="GHEA Grapalat" w:cs="Times New Roman"/>
          <w:b/>
          <w:sz w:val="24"/>
          <w:szCs w:val="24"/>
          <w:lang w:val="hy-AM" w:eastAsia="ru-RU"/>
        </w:rPr>
      </w:pPr>
      <w:r w:rsidRPr="00714FA2">
        <w:rPr>
          <w:rFonts w:ascii="GHEA Grapalat" w:eastAsia="Calibri" w:hAnsi="GHEA Grapalat" w:cs="Times New Roman"/>
          <w:b/>
          <w:bCs/>
          <w:sz w:val="24"/>
          <w:szCs w:val="24"/>
          <w:lang w:val="hy-AM" w:eastAsia="ru-RU"/>
        </w:rPr>
        <w:t>Ընթացիկ</w:t>
      </w:r>
      <w:r w:rsidRPr="00714FA2">
        <w:rPr>
          <w:rFonts w:ascii="GHEA Grapalat" w:eastAsia="Calibri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714FA2">
        <w:rPr>
          <w:rFonts w:ascii="GHEA Grapalat" w:eastAsia="Calibri" w:hAnsi="GHEA Grapalat" w:cs="Times New Roman"/>
          <w:b/>
          <w:bCs/>
          <w:sz w:val="24"/>
          <w:szCs w:val="24"/>
          <w:lang w:val="hy-AM" w:eastAsia="ru-RU"/>
        </w:rPr>
        <w:t>իրավիճակը</w:t>
      </w:r>
      <w:r w:rsidRPr="00714FA2">
        <w:rPr>
          <w:rFonts w:ascii="GHEA Grapalat" w:eastAsia="Calibri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714FA2">
        <w:rPr>
          <w:rFonts w:ascii="GHEA Grapalat" w:eastAsia="Calibri" w:hAnsi="GHEA Grapalat" w:cs="Times New Roman"/>
          <w:b/>
          <w:bCs/>
          <w:sz w:val="24"/>
          <w:szCs w:val="24"/>
          <w:lang w:val="hy-AM" w:eastAsia="ru-RU"/>
        </w:rPr>
        <w:t>և</w:t>
      </w:r>
      <w:r w:rsidRPr="00714FA2">
        <w:rPr>
          <w:rFonts w:ascii="GHEA Grapalat" w:eastAsia="Calibri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714FA2">
        <w:rPr>
          <w:rFonts w:ascii="GHEA Grapalat" w:eastAsia="Calibri" w:hAnsi="GHEA Grapalat" w:cs="Times New Roman"/>
          <w:b/>
          <w:bCs/>
          <w:sz w:val="24"/>
          <w:szCs w:val="24"/>
          <w:lang w:val="hy-AM" w:eastAsia="ru-RU"/>
        </w:rPr>
        <w:t>խնդիրները.</w:t>
      </w:r>
    </w:p>
    <w:p w:rsidR="00194F10" w:rsidRPr="005429CC" w:rsidRDefault="00714FA2" w:rsidP="00194F10">
      <w:pPr>
        <w:tabs>
          <w:tab w:val="left" w:pos="450"/>
          <w:tab w:val="left" w:pos="2610"/>
          <w:tab w:val="left" w:pos="2700"/>
          <w:tab w:val="left" w:pos="3150"/>
          <w:tab w:val="left" w:pos="3240"/>
          <w:tab w:val="left" w:pos="4050"/>
          <w:tab w:val="left" w:pos="4500"/>
        </w:tabs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>
        <w:rPr>
          <w:rFonts w:ascii="GHEA Grapalat" w:eastAsia="Calibri" w:hAnsi="GHEA Grapalat" w:cs="Times New Roman"/>
          <w:sz w:val="24"/>
          <w:szCs w:val="24"/>
          <w:lang w:val="hy-AM"/>
        </w:rPr>
        <w:t>Նախագծ</w:t>
      </w:r>
      <w:r w:rsidR="00194F10"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ի մշակումը պայմանավորված է Հայաստանի Հանրապետությունում միջազգային չափանիշներին համապատասխանող քաղաքաշինության բնագավառում պատասխանատու մասնագետների (այսուհետ՝ </w:t>
      </w:r>
      <w:r w:rsidR="0088002B">
        <w:rPr>
          <w:rFonts w:ascii="GHEA Grapalat" w:eastAsia="Calibri" w:hAnsi="GHEA Grapalat" w:cs="Times New Roman"/>
          <w:sz w:val="24"/>
          <w:szCs w:val="24"/>
        </w:rPr>
        <w:t>Մ</w:t>
      </w:r>
      <w:r w:rsidR="00194F10" w:rsidRPr="005429CC">
        <w:rPr>
          <w:rFonts w:ascii="GHEA Grapalat" w:eastAsia="Calibri" w:hAnsi="GHEA Grapalat" w:cs="Times New Roman"/>
          <w:sz w:val="24"/>
          <w:szCs w:val="24"/>
          <w:lang w:val="hy-AM"/>
        </w:rPr>
        <w:t>ասնագետ) շարունակական մասնագիտական զարգացման (ՇՄԶ) համակարգի ներդրման միջոցով մասնագետների ունակությունների և գիտելիքների բարձրացման և կապալառու կազմակերպություններում մասնագիտական ծառայությունների որակի անընդհատ բարելավման անհրաժեշտությամբ:</w:t>
      </w:r>
    </w:p>
    <w:p w:rsidR="00194F10" w:rsidRPr="005429CC" w:rsidRDefault="00194F10" w:rsidP="00194F10">
      <w:pPr>
        <w:tabs>
          <w:tab w:val="left" w:pos="450"/>
          <w:tab w:val="left" w:pos="2610"/>
          <w:tab w:val="left" w:pos="2700"/>
          <w:tab w:val="left" w:pos="3150"/>
          <w:tab w:val="left" w:pos="3240"/>
          <w:tab w:val="left" w:pos="4050"/>
          <w:tab w:val="left" w:pos="4500"/>
        </w:tabs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Հայտնի է, որ քաղաքաշինության բնագավառում մասնագիտական կրթության և շարունակական մասնագիտական զարգացման գործընթացները գտնվում են բոլոր երկրների զարգացման և կառուցապատողներին որակյալ մասնագիտական ծառայությունների տրամադրման հիմքում: Միջազգային փորձը փաստում է, որ շարունակական մասնագիտական զարգացումը նպաստում է կապալառու կազմակերպությունների կողմից ծառայությունների որակի բարձրացմանը:</w:t>
      </w:r>
    </w:p>
    <w:p w:rsidR="00194F10" w:rsidRPr="005429CC" w:rsidRDefault="00194F10" w:rsidP="00194F10">
      <w:pPr>
        <w:tabs>
          <w:tab w:val="left" w:pos="450"/>
          <w:tab w:val="left" w:pos="2610"/>
          <w:tab w:val="left" w:pos="2700"/>
          <w:tab w:val="left" w:pos="3150"/>
          <w:tab w:val="left" w:pos="3240"/>
          <w:tab w:val="left" w:pos="4050"/>
          <w:tab w:val="left" w:pos="4500"/>
        </w:tabs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b/>
          <w:sz w:val="24"/>
          <w:szCs w:val="24"/>
          <w:u w:val="single"/>
          <w:lang w:val="hy-AM"/>
        </w:rPr>
      </w:pP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Միջազգային փորձը</w:t>
      </w:r>
    </w:p>
    <w:p w:rsidR="00194F10" w:rsidRPr="005429CC" w:rsidRDefault="00194F10" w:rsidP="00194F10">
      <w:pPr>
        <w:tabs>
          <w:tab w:val="left" w:pos="450"/>
          <w:tab w:val="left" w:pos="2610"/>
          <w:tab w:val="left" w:pos="2700"/>
          <w:tab w:val="left" w:pos="3150"/>
          <w:tab w:val="left" w:pos="3240"/>
          <w:tab w:val="left" w:pos="4050"/>
          <w:tab w:val="left" w:pos="4500"/>
        </w:tabs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Բազմաթիվ զարգացած երկրներում սահմանված </w:t>
      </w:r>
      <w:r w:rsidR="00CF77B4">
        <w:rPr>
          <w:rFonts w:ascii="GHEA Grapalat" w:eastAsia="Calibri" w:hAnsi="GHEA Grapalat" w:cs="Times New Roman"/>
          <w:sz w:val="24"/>
          <w:szCs w:val="24"/>
          <w:lang w:val="hy-AM"/>
        </w:rPr>
        <w:t>են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ՇՄԶ համակարգին անցնելու ընդհանուր պահանջներ, մասնավորապես՝ մասնագետների համար պարտադիր է համարվում տեսական գիտելիքների զարգացումը մասնագիտական դասընթացներին, սեմինարներին, սիմպոզիումներին մասնակցության միջոցով, գործնական հմտությունների զարգացումը գիտագործնական միջոցառումներին մասնակցության միջոցով, ինչպես նաև ինքնազարգացումը՝ օրինակ առցանց դասընթացների մասնակցության միջոցով, ինչի գնահատման համար սահմանված է կրեդիտային համակարգ: Վերոնշյալ միջոցառումները կազմակերպվում են մասնագետների մասնագիտական հասարակական կազմակերպությունների, ճարտարապետաշինարարական կազմակերպությունների կամ քաղաքաշինության բնագավառում գործունեություն իրականացնող այլ կազմակերպությունների կողմից: ՇՄԶ պահանջները չկատարելը կարող է ունենալ տարբեր 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lastRenderedPageBreak/>
        <w:t>հետևանքներ՝ նախազգուշացումից մինչև մասնագիտական գործունեության թույլտվության կասեցում կամ դա</w:t>
      </w:r>
      <w:r w:rsidR="00714FA2">
        <w:rPr>
          <w:rFonts w:ascii="GHEA Grapalat" w:eastAsia="Calibri" w:hAnsi="GHEA Grapalat" w:cs="Times New Roman"/>
          <w:sz w:val="24"/>
          <w:szCs w:val="24"/>
        </w:rPr>
        <w:t>դ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արեցում։</w:t>
      </w:r>
    </w:p>
    <w:p w:rsidR="00194F10" w:rsidRPr="005429CC" w:rsidRDefault="00194F10" w:rsidP="00194F10">
      <w:pPr>
        <w:tabs>
          <w:tab w:val="left" w:pos="450"/>
          <w:tab w:val="left" w:pos="2610"/>
          <w:tab w:val="left" w:pos="2700"/>
          <w:tab w:val="left" w:pos="3150"/>
          <w:tab w:val="left" w:pos="3240"/>
          <w:tab w:val="left" w:pos="4050"/>
          <w:tab w:val="left" w:pos="4500"/>
        </w:tabs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Մասնագիտական գործունեության թույլտվությունը որոշակի ժամանակային պարբերականությամբ պետք է թարմացվի և դա կապակցվում է ՇՄԶ կրեդիտների պահանջների կատարման հետ: Օրինակ, Բելգիայում, Իտալիայում և մի շարք այլ երկրներում ՇՄԶ-ն դարձել է իրավական պարտավորություն։ Գերմանիայում ՇՄԶ պահանջված </w:t>
      </w:r>
      <w:r w:rsidR="00515A23">
        <w:rPr>
          <w:rFonts w:ascii="GHEA Grapalat" w:eastAsia="Calibri" w:hAnsi="GHEA Grapalat" w:cs="Times New Roman"/>
          <w:sz w:val="24"/>
          <w:szCs w:val="24"/>
          <w:lang w:val="hy-AM"/>
        </w:rPr>
        <w:t>կրեդիտները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չլրացնելը կարող է հանգեցնել տվյալ մասնագետի մատուցած ծառայությունների դիմաց փոխհատուցվող գումարի նվազեցմանը կամ մասնագետի ապահովագրության շրջանակում նրա գործունեության իրավունքի ետ կանչմանը։ Շվեյցարիայում «Շինարարական մասնագիտությունների մասին օրենքը սահմանում է պարտադիր ուսուցման պահանջ և նախատեսում է ֆինանսական ներգործման միջոցներ ՇՄԶ պահանջները չկատարելու դեպքում։ Գործունեության իրավունքի վերագրանցման համար մասնագետները պետք է ներկայացնեն փաստաթղթեր ՇՄԶ ծրագրերին մասնակցության և պահանջվող քանակի ՇՄԶ կրեդիտների վերաբերյալ։</w:t>
      </w:r>
    </w:p>
    <w:p w:rsidR="00194F10" w:rsidRPr="005429CC" w:rsidRDefault="00194F10" w:rsidP="00194F10">
      <w:pPr>
        <w:tabs>
          <w:tab w:val="left" w:pos="450"/>
          <w:tab w:val="left" w:pos="2610"/>
          <w:tab w:val="left" w:pos="2700"/>
          <w:tab w:val="left" w:pos="3150"/>
          <w:tab w:val="left" w:pos="3240"/>
          <w:tab w:val="left" w:pos="4050"/>
          <w:tab w:val="left" w:pos="4500"/>
        </w:tabs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Ներկայումս Հայաստանի Հանրապետությունում չի իրականացվում քաղաքաշինության բնագավառում </w:t>
      </w:r>
      <w:r w:rsidR="000E2E80">
        <w:rPr>
          <w:rFonts w:ascii="GHEA Grapalat" w:eastAsia="Calibri" w:hAnsi="GHEA Grapalat" w:cs="Times New Roman"/>
          <w:sz w:val="24"/>
          <w:szCs w:val="24"/>
        </w:rPr>
        <w:t>ՇՄԶ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օբյեկտիվ և արդյունավետ համակարգ, չի իրականացվում մասնագետների որակական մակարդակի գնահատման գործընթաց:</w:t>
      </w:r>
    </w:p>
    <w:p w:rsidR="005429CC" w:rsidRPr="005429CC" w:rsidRDefault="005429CC" w:rsidP="005429CC">
      <w:pPr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5429CC" w:rsidRPr="005429CC" w:rsidRDefault="00714FA2" w:rsidP="00714FA2">
      <w:pPr>
        <w:numPr>
          <w:ilvl w:val="0"/>
          <w:numId w:val="3"/>
        </w:numPr>
        <w:spacing w:after="200" w:line="360" w:lineRule="auto"/>
        <w:ind w:right="0"/>
        <w:contextualSpacing/>
        <w:jc w:val="both"/>
        <w:rPr>
          <w:rFonts w:ascii="GHEA Grapalat" w:eastAsia="Calibri" w:hAnsi="GHEA Grapalat" w:cs="Times New Roman"/>
          <w:b/>
          <w:sz w:val="24"/>
          <w:szCs w:val="24"/>
          <w:lang w:val="ru-RU" w:eastAsia="ru-RU"/>
        </w:rPr>
      </w:pPr>
      <w:r>
        <w:rPr>
          <w:rFonts w:ascii="GHEA Grapalat" w:eastAsia="Calibri" w:hAnsi="GHEA Grapalat" w:cs="Times New Roman"/>
          <w:b/>
          <w:sz w:val="24"/>
          <w:szCs w:val="24"/>
          <w:lang w:eastAsia="ru-RU"/>
        </w:rPr>
        <w:t>Առաջարկվող լուծումները</w:t>
      </w:r>
      <w:r w:rsidR="005429CC" w:rsidRPr="005429CC">
        <w:rPr>
          <w:rFonts w:ascii="GHEA Grapalat" w:eastAsia="Calibri" w:hAnsi="GHEA Grapalat" w:cs="Times New Roman"/>
          <w:b/>
          <w:sz w:val="24"/>
          <w:szCs w:val="24"/>
          <w:lang w:val="ru-RU" w:eastAsia="ru-RU"/>
        </w:rPr>
        <w:t>.</w:t>
      </w:r>
    </w:p>
    <w:p w:rsidR="005429CC" w:rsidRPr="005429CC" w:rsidRDefault="005429CC" w:rsidP="005429CC">
      <w:pPr>
        <w:spacing w:line="360" w:lineRule="auto"/>
        <w:ind w:left="360" w:right="0" w:firstLine="0"/>
        <w:jc w:val="both"/>
        <w:rPr>
          <w:rFonts w:ascii="GHEA Grapalat" w:eastAsia="Calibri" w:hAnsi="GHEA Grapalat" w:cs="Times New Roman"/>
          <w:b/>
          <w:sz w:val="24"/>
          <w:szCs w:val="24"/>
        </w:rPr>
      </w:pPr>
    </w:p>
    <w:p w:rsidR="005429CC" w:rsidRPr="005429CC" w:rsidRDefault="005429CC" w:rsidP="005429CC">
      <w:pPr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Հաշվի առնելով, որ շարունակական մասնագիտական զարգացումը</w:t>
      </w:r>
      <w:r w:rsidR="00F37736">
        <w:rPr>
          <w:rFonts w:ascii="GHEA Grapalat" w:eastAsia="Calibri" w:hAnsi="GHEA Grapalat" w:cs="Times New Roman"/>
          <w:sz w:val="24"/>
          <w:szCs w:val="24"/>
          <w:lang w:val="hy-AM"/>
        </w:rPr>
        <w:t xml:space="preserve"> քաղաքաշինության բնագավառում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համարվում է որակյալ պարտադիր պայման, անհրաժեշտ է Հայաստանում</w:t>
      </w:r>
      <w:r w:rsidR="00F37736">
        <w:rPr>
          <w:rFonts w:ascii="GHEA Grapalat" w:eastAsia="Calibri" w:hAnsi="GHEA Grapalat" w:cs="Times New Roman"/>
          <w:sz w:val="24"/>
          <w:szCs w:val="24"/>
          <w:lang w:val="hy-AM"/>
        </w:rPr>
        <w:t xml:space="preserve"> ևս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ներդնել վերոնշյալ համակարգը:</w:t>
      </w:r>
    </w:p>
    <w:p w:rsidR="005429CC" w:rsidRPr="005429CC" w:rsidRDefault="005429CC" w:rsidP="005429CC">
      <w:pPr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Ստեղծել</w:t>
      </w:r>
      <w:r w:rsidRPr="005429CC">
        <w:rPr>
          <w:rFonts w:ascii="Calibri" w:eastAsia="Calibri" w:hAnsi="Calibri" w:cs="Calibri"/>
          <w:sz w:val="24"/>
          <w:szCs w:val="24"/>
          <w:lang w:val="hy-AM"/>
        </w:rPr>
        <w:t> 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քաղաքաշինական գործունեության տեսակներին համապատասխան կրթության, շարունակական մասնագիտական զարգացման ընթացքում ստացված տեսական գիտելիքների և գործնական հմտությունների գնահատման գործընթացի` թեստավորման կազմակերպման</w:t>
      </w:r>
      <w:r w:rsidRPr="005429CC">
        <w:rPr>
          <w:rFonts w:ascii="Calibri" w:eastAsia="Calibri" w:hAnsi="Calibri" w:cs="Calibri"/>
          <w:sz w:val="24"/>
          <w:szCs w:val="24"/>
          <w:lang w:val="hy-AM"/>
        </w:rPr>
        <w:t> 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և իրականացման հետ կապված հարաբերությունները:</w:t>
      </w:r>
    </w:p>
    <w:p w:rsidR="005429CC" w:rsidRPr="005429CC" w:rsidRDefault="005429CC" w:rsidP="00194F10">
      <w:pPr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Բավարարել քաղաքաշինության բնագավառում առկա կադրային ներուժի մասով վարվող քաղաքականությունը: </w:t>
      </w:r>
    </w:p>
    <w:p w:rsidR="005429CC" w:rsidRPr="005429CC" w:rsidRDefault="005429CC" w:rsidP="005429CC">
      <w:pPr>
        <w:spacing w:line="360" w:lineRule="auto"/>
        <w:ind w:left="0" w:right="50" w:firstLine="27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5429CC" w:rsidRPr="005429CC" w:rsidRDefault="005429CC" w:rsidP="005429CC">
      <w:pPr>
        <w:tabs>
          <w:tab w:val="left" w:pos="540"/>
        </w:tabs>
        <w:spacing w:line="360" w:lineRule="auto"/>
        <w:ind w:left="0" w:right="50" w:firstLine="270"/>
        <w:jc w:val="both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  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af-ZA"/>
        </w:rPr>
        <w:t xml:space="preserve">4. </w:t>
      </w:r>
      <w:r w:rsidR="00032E49">
        <w:rPr>
          <w:rFonts w:ascii="GHEA Grapalat" w:eastAsia="Calibri" w:hAnsi="GHEA Grapalat" w:cs="Times New Roman"/>
          <w:b/>
          <w:sz w:val="24"/>
          <w:szCs w:val="24"/>
        </w:rPr>
        <w:t>Կապը ռազմավարական փաստաթղթերի հետ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.</w:t>
      </w:r>
    </w:p>
    <w:p w:rsidR="005429CC" w:rsidRPr="005429CC" w:rsidRDefault="005429CC" w:rsidP="005429CC">
      <w:pPr>
        <w:tabs>
          <w:tab w:val="left" w:pos="540"/>
        </w:tabs>
        <w:spacing w:line="360" w:lineRule="auto"/>
        <w:ind w:left="0" w:right="50" w:firstLine="27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032E49" w:rsidRDefault="00032E49" w:rsidP="00032E49">
      <w:pPr>
        <w:spacing w:line="360" w:lineRule="auto"/>
        <w:ind w:left="0" w:right="0" w:firstLine="54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ՀՀ կառավարության 2021</w:t>
      </w:r>
      <w:r w:rsidRPr="00C10204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թ</w:t>
      </w:r>
      <w:r w:rsidRPr="00C10204">
        <w:rPr>
          <w:rFonts w:ascii="GHEA Grapalat" w:hAnsi="GHEA Grapalat"/>
          <w:sz w:val="24"/>
          <w:szCs w:val="24"/>
          <w:lang w:val="hy-AM"/>
        </w:rPr>
        <w:t>վականի նոյեմբերի 18-ի</w:t>
      </w:r>
      <w:r>
        <w:rPr>
          <w:rFonts w:ascii="GHEA Grapalat" w:hAnsi="GHEA Grapalat"/>
          <w:sz w:val="24"/>
          <w:szCs w:val="24"/>
          <w:lang w:val="hy-AM"/>
        </w:rPr>
        <w:t xml:space="preserve"> «Հայաստանի Հանրապետության կառավարության 2021-2026 թվականների գործունեության միջոցառումների ծրագիրը հաստատելու մասին» N 1902-Լ որոշմամբ հաստատված հավելված 1-ի «Քաղաքաշինության կոմիտե» բաժն</w:t>
      </w:r>
      <w:r w:rsidRPr="00C10204">
        <w:rPr>
          <w:rFonts w:ascii="GHEA Grapalat" w:hAnsi="GHEA Grapalat"/>
          <w:sz w:val="24"/>
          <w:szCs w:val="24"/>
          <w:lang w:val="hy-AM"/>
        </w:rPr>
        <w:t xml:space="preserve">ի </w:t>
      </w:r>
      <w:r w:rsidR="000C5A13" w:rsidRPr="00C10204">
        <w:rPr>
          <w:rFonts w:ascii="GHEA Grapalat" w:hAnsi="GHEA Grapalat"/>
          <w:sz w:val="24"/>
          <w:szCs w:val="24"/>
          <w:lang w:val="hy-AM"/>
        </w:rPr>
        <w:t>10.2</w:t>
      </w:r>
      <w:r w:rsidR="000C5A13">
        <w:rPr>
          <w:rFonts w:ascii="GHEA Grapalat" w:hAnsi="GHEA Grapalat"/>
          <w:sz w:val="24"/>
          <w:szCs w:val="24"/>
        </w:rPr>
        <w:t>.</w:t>
      </w:r>
      <w:r w:rsidR="000C5A13" w:rsidRPr="00C10204">
        <w:rPr>
          <w:rFonts w:ascii="GHEA Grapalat" w:hAnsi="GHEA Grapalat"/>
          <w:sz w:val="24"/>
          <w:szCs w:val="24"/>
          <w:lang w:val="hy-AM"/>
        </w:rPr>
        <w:t xml:space="preserve"> </w:t>
      </w:r>
      <w:r w:rsidR="000C5A13" w:rsidRPr="00601A1D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Լիցենզավորման, մասնագետների հավաստագրման, թեստավորման, մասնագետների և կազմակերպությունների ռեգիստրի ձևավորման և կառուցվածքի վարման կարգերը հաստատելու մասին», ինչպես նաև «Մասնագետների շարունակական մասնագիտական զարգացման հնգամյա ժամանակացույցը հաստատելու մասին»</w:t>
      </w:r>
      <w:r w:rsidR="000C5A13">
        <w:rPr>
          <w:rFonts w:ascii="GHEA Grapalat" w:hAnsi="GHEA Grapalat" w:cs="GHEA Grapalat"/>
          <w:color w:val="000000" w:themeColor="text1"/>
          <w:sz w:val="24"/>
          <w:szCs w:val="24"/>
        </w:rPr>
        <w:t xml:space="preserve"> և</w:t>
      </w:r>
      <w:r w:rsidR="000C5A13" w:rsidRPr="00601A1D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Pr="00C10204">
        <w:rPr>
          <w:rFonts w:ascii="GHEA Grapalat" w:hAnsi="GHEA Grapalat"/>
          <w:sz w:val="24"/>
          <w:szCs w:val="24"/>
          <w:lang w:val="hy-AM"/>
        </w:rPr>
        <w:t>10.</w:t>
      </w:r>
      <w:r>
        <w:rPr>
          <w:rFonts w:ascii="GHEA Grapalat" w:hAnsi="GHEA Grapalat"/>
          <w:sz w:val="24"/>
          <w:szCs w:val="24"/>
        </w:rPr>
        <w:t>3.</w:t>
      </w:r>
      <w:r w:rsidRPr="00C10204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fr-FR"/>
        </w:rPr>
        <w:t>Քաղաքաշինության բնագավառում գործունեություն իրականացնող մասնագետների մասնագիտական չափորոշիչների և որակավորման պահանջների սահմանում՝ Քաղաքաշինության կոմիտեի նախագահի հրամանով</w:t>
      </w:r>
      <w:r w:rsidRPr="00C10204">
        <w:rPr>
          <w:rFonts w:ascii="GHEA Grapalat" w:hAnsi="GHEA Grapalat"/>
          <w:sz w:val="24"/>
          <w:szCs w:val="24"/>
          <w:lang w:val="hy-AM"/>
        </w:rPr>
        <w:t></w:t>
      </w:r>
      <w:r w:rsidR="004B14C6">
        <w:rPr>
          <w:rFonts w:ascii="GHEA Grapalat" w:hAnsi="GHEA Grapalat"/>
          <w:sz w:val="24"/>
          <w:szCs w:val="24"/>
        </w:rPr>
        <w:t xml:space="preserve"> </w:t>
      </w:r>
      <w:proofErr w:type="gramStart"/>
      <w:r w:rsidR="004B14C6">
        <w:rPr>
          <w:rFonts w:ascii="GHEA Grapalat" w:hAnsi="GHEA Grapalat"/>
          <w:sz w:val="24"/>
          <w:szCs w:val="24"/>
        </w:rPr>
        <w:t>միջոցառում</w:t>
      </w:r>
      <w:r w:rsidR="000C5A13">
        <w:rPr>
          <w:rFonts w:ascii="GHEA Grapalat" w:hAnsi="GHEA Grapalat"/>
          <w:sz w:val="24"/>
          <w:szCs w:val="24"/>
        </w:rPr>
        <w:t>ներ</w:t>
      </w:r>
      <w:r>
        <w:rPr>
          <w:rFonts w:ascii="GHEA Grapalat" w:hAnsi="GHEA Grapalat"/>
          <w:sz w:val="24"/>
          <w:szCs w:val="24"/>
        </w:rPr>
        <w:t>:</w:t>
      </w:r>
      <w:proofErr w:type="gramEnd"/>
    </w:p>
    <w:p w:rsidR="00032E49" w:rsidRPr="005429CC" w:rsidRDefault="00032E49" w:rsidP="00032E49">
      <w:pPr>
        <w:spacing w:line="360" w:lineRule="auto"/>
        <w:ind w:left="0" w:right="0" w:firstLine="540"/>
        <w:jc w:val="both"/>
        <w:rPr>
          <w:rFonts w:ascii="GHEA Grapalat" w:eastAsia="Times New Roman" w:hAnsi="GHEA Grapalat" w:cs="Arial"/>
          <w:bCs/>
          <w:sz w:val="24"/>
          <w:szCs w:val="24"/>
          <w:lang w:val="hy-AM"/>
        </w:rPr>
      </w:pPr>
      <w:r w:rsidRPr="005429CC">
        <w:rPr>
          <w:rFonts w:ascii="GHEA Grapalat" w:eastAsia="Times New Roman" w:hAnsi="GHEA Grapalat" w:cs="Arial"/>
          <w:bCs/>
          <w:sz w:val="24"/>
          <w:szCs w:val="24"/>
          <w:lang w:val="hy-AM"/>
        </w:rPr>
        <w:t>ՀՀ կառավարության 2021 թվականի ապրիլի 8-ի N 531-Լ որոշմամբ հաստատված ՀՀ քաղաքաշինության բնագավառի զարգացման ռազմավարական ծրագրի իրագործումն ապահովող միջոցառումների ցանկով սահմանված</w:t>
      </w:r>
      <w:r w:rsidRPr="005429CC">
        <w:rPr>
          <w:rFonts w:ascii="Arial Unicode" w:eastAsia="Times New Roman" w:hAnsi="Arial Unicode" w:cs="Times New Roman"/>
          <w:sz w:val="15"/>
          <w:szCs w:val="15"/>
          <w:lang w:val="hy-AM"/>
        </w:rPr>
        <w:t xml:space="preserve"> </w:t>
      </w:r>
      <w:r w:rsidRPr="005429CC">
        <w:rPr>
          <w:rFonts w:ascii="GHEA Grapalat" w:eastAsia="Times New Roman" w:hAnsi="GHEA Grapalat" w:cs="Times New Roman"/>
          <w:sz w:val="24"/>
          <w:szCs w:val="24"/>
          <w:lang w:val="hy-AM"/>
        </w:rPr>
        <w:t></w:t>
      </w:r>
      <w:r>
        <w:rPr>
          <w:rFonts w:ascii="GHEA Grapalat" w:eastAsia="Times New Roman" w:hAnsi="GHEA Grapalat" w:cs="Times New Roman"/>
          <w:sz w:val="24"/>
          <w:szCs w:val="24"/>
        </w:rPr>
        <w:t>10.</w:t>
      </w:r>
      <w:r w:rsidRPr="005429CC">
        <w:rPr>
          <w:rFonts w:ascii="GHEA Grapalat" w:eastAsia="Times New Roman" w:hAnsi="GHEA Grapalat" w:cs="Arial"/>
          <w:bCs/>
          <w:sz w:val="24"/>
          <w:szCs w:val="20"/>
          <w:lang w:val="hy-AM"/>
        </w:rPr>
        <w:t xml:space="preserve">1. </w:t>
      </w:r>
      <w:r>
        <w:rPr>
          <w:rFonts w:ascii="GHEA Grapalat" w:eastAsia="Times New Roman" w:hAnsi="GHEA Grapalat" w:cs="Arial"/>
          <w:bCs/>
          <w:sz w:val="24"/>
          <w:szCs w:val="20"/>
        </w:rPr>
        <w:t>Լիցենզավորման գործընթացի թափանցիկության և հաշվետվողականության ձևավորման մեթոդակարգի մշակում</w:t>
      </w:r>
      <w:r w:rsidRPr="005429CC">
        <w:rPr>
          <w:rFonts w:ascii="GHEA Grapalat" w:eastAsia="Times New Roman" w:hAnsi="GHEA Grapalat" w:cs="Arial"/>
          <w:bCs/>
          <w:sz w:val="24"/>
          <w:szCs w:val="24"/>
          <w:lang w:val="hy-AM"/>
        </w:rPr>
        <w:t> և </w:t>
      </w:r>
      <w:r>
        <w:rPr>
          <w:rFonts w:ascii="GHEA Grapalat" w:eastAsia="Times New Roman" w:hAnsi="GHEA Grapalat" w:cs="Arial"/>
          <w:bCs/>
          <w:sz w:val="24"/>
          <w:szCs w:val="20"/>
          <w:lang w:val="hy-AM"/>
        </w:rPr>
        <w:t>10</w:t>
      </w:r>
      <w:r w:rsidRPr="005429CC">
        <w:rPr>
          <w:rFonts w:ascii="GHEA Grapalat" w:eastAsia="Times New Roman" w:hAnsi="GHEA Grapalat" w:cs="Arial"/>
          <w:bCs/>
          <w:sz w:val="24"/>
          <w:szCs w:val="20"/>
          <w:lang w:val="hy-AM"/>
        </w:rPr>
        <w:t xml:space="preserve">.2. </w:t>
      </w:r>
      <w:r w:rsidR="004B14C6">
        <w:rPr>
          <w:rFonts w:ascii="GHEA Grapalat" w:eastAsia="Times New Roman" w:hAnsi="GHEA Grapalat" w:cs="Arial"/>
          <w:bCs/>
          <w:sz w:val="24"/>
          <w:szCs w:val="20"/>
        </w:rPr>
        <w:t>Մասնագիտական որակավորման հանրային իրազեկմանը միտված քաղաքաշինության բնագավառում լիցենզավորված կազմակերպությունների ռեյտինգավորման ցանկի ստեղծում</w:t>
      </w:r>
      <w:r w:rsidRPr="005429CC">
        <w:rPr>
          <w:rFonts w:ascii="GHEA Grapalat" w:eastAsia="Times New Roman" w:hAnsi="GHEA Grapalat" w:cs="Arial"/>
          <w:bCs/>
          <w:sz w:val="24"/>
          <w:szCs w:val="24"/>
          <w:lang w:val="hy-AM"/>
        </w:rPr>
        <w:t></w:t>
      </w:r>
      <w:r w:rsidRPr="005429CC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5429CC">
        <w:rPr>
          <w:rFonts w:ascii="GHEA Grapalat" w:eastAsia="Times New Roman" w:hAnsi="GHEA Grapalat" w:cs="Arial"/>
          <w:bCs/>
          <w:sz w:val="24"/>
          <w:szCs w:val="24"/>
          <w:lang w:val="hy-AM"/>
        </w:rPr>
        <w:t xml:space="preserve">միջոցառումներ: </w:t>
      </w:r>
    </w:p>
    <w:p w:rsidR="005429CC" w:rsidRPr="005429CC" w:rsidRDefault="005429CC" w:rsidP="005429CC">
      <w:pPr>
        <w:spacing w:line="360" w:lineRule="auto"/>
        <w:ind w:left="0" w:right="50" w:firstLine="27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5429CC" w:rsidRPr="005429CC" w:rsidRDefault="005429CC" w:rsidP="005429CC">
      <w:pPr>
        <w:spacing w:line="360" w:lineRule="auto"/>
        <w:ind w:left="0" w:right="0" w:firstLine="0"/>
        <w:jc w:val="both"/>
        <w:rPr>
          <w:rFonts w:ascii="GHEA Grapalat" w:eastAsia="Calibri" w:hAnsi="GHEA Grapalat" w:cs="Times New Roman"/>
          <w:sz w:val="24"/>
          <w:szCs w:val="24"/>
          <w:lang w:val="fr-FR"/>
        </w:rPr>
      </w:pPr>
      <w:r w:rsidRPr="005429CC">
        <w:rPr>
          <w:rFonts w:ascii="GHEA Grapalat" w:eastAsia="Calibri" w:hAnsi="GHEA Grapalat" w:cs="Times New Roman"/>
          <w:b/>
          <w:sz w:val="24"/>
          <w:szCs w:val="24"/>
          <w:lang w:val="af-ZA"/>
        </w:rPr>
        <w:t xml:space="preserve">  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fr-FR"/>
        </w:rPr>
        <w:t xml:space="preserve">5. 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Օրենքների նախագծի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մշակման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գործընթացում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ներգրավված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ինստիտուտները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և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անձիք</w:t>
      </w:r>
      <w:r w:rsidRPr="005429CC">
        <w:rPr>
          <w:rFonts w:ascii="GHEA Grapalat" w:eastAsia="Calibri" w:hAnsi="GHEA Grapalat" w:cs="Times New Roman"/>
          <w:sz w:val="24"/>
          <w:szCs w:val="24"/>
          <w:lang w:val="fr-FR"/>
        </w:rPr>
        <w:t xml:space="preserve">. </w:t>
      </w:r>
    </w:p>
    <w:p w:rsidR="005429CC" w:rsidRPr="005429CC" w:rsidRDefault="005429CC" w:rsidP="005429CC">
      <w:pPr>
        <w:spacing w:line="360" w:lineRule="auto"/>
        <w:ind w:left="0" w:right="0" w:firstLine="0"/>
        <w:jc w:val="both"/>
        <w:rPr>
          <w:rFonts w:ascii="GHEA Grapalat" w:eastAsia="Calibri" w:hAnsi="GHEA Grapalat" w:cs="Times New Roman"/>
          <w:sz w:val="24"/>
          <w:szCs w:val="24"/>
          <w:lang w:val="fr-FR"/>
        </w:rPr>
      </w:pPr>
    </w:p>
    <w:p w:rsidR="005429CC" w:rsidRPr="005429CC" w:rsidRDefault="005429CC" w:rsidP="005429CC">
      <w:pPr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fr-FR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Նա</w:t>
      </w:r>
      <w:r w:rsidRPr="005429CC">
        <w:rPr>
          <w:rFonts w:ascii="GHEA Grapalat" w:eastAsia="Calibri" w:hAnsi="GHEA Grapalat" w:cs="Times New Roman"/>
          <w:sz w:val="24"/>
          <w:szCs w:val="24"/>
          <w:lang w:val="fr-FR"/>
        </w:rPr>
        <w:softHyphen/>
      </w:r>
      <w:r w:rsidRPr="005429CC">
        <w:rPr>
          <w:rFonts w:ascii="GHEA Grapalat" w:eastAsia="Calibri" w:hAnsi="GHEA Grapalat" w:cs="Times New Roman"/>
          <w:sz w:val="24"/>
          <w:szCs w:val="24"/>
          <w:lang w:val="fr-FR"/>
        </w:rPr>
        <w:softHyphen/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խագիծը</w:t>
      </w:r>
      <w:r w:rsidRPr="005429CC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մշակվել</w:t>
      </w:r>
      <w:r w:rsidRPr="005429CC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է</w:t>
      </w:r>
      <w:r w:rsidRPr="005429CC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ՀՀ</w:t>
      </w:r>
      <w:r w:rsidRPr="005429CC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քաղաքաշինության կոմիտեի</w:t>
      </w:r>
      <w:r w:rsidRPr="005429CC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կողմից</w:t>
      </w:r>
      <w:r w:rsidRPr="005429CC">
        <w:rPr>
          <w:rFonts w:ascii="GHEA Grapalat" w:eastAsia="Calibri" w:hAnsi="GHEA Grapalat" w:cs="Times New Roman"/>
          <w:sz w:val="24"/>
          <w:szCs w:val="24"/>
          <w:lang w:val="fr-FR"/>
        </w:rPr>
        <w:t xml:space="preserve">: </w:t>
      </w:r>
    </w:p>
    <w:p w:rsidR="005429CC" w:rsidRPr="005429CC" w:rsidRDefault="005429CC" w:rsidP="005429CC">
      <w:pPr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fr-FR"/>
        </w:rPr>
      </w:pPr>
    </w:p>
    <w:p w:rsidR="005429CC" w:rsidRPr="005429CC" w:rsidRDefault="005429CC" w:rsidP="005429CC">
      <w:pPr>
        <w:spacing w:line="360" w:lineRule="auto"/>
        <w:ind w:left="0" w:right="50" w:firstLine="27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5429CC" w:rsidRPr="005429CC" w:rsidRDefault="001C75EA" w:rsidP="005429CC">
      <w:pPr>
        <w:spacing w:line="360" w:lineRule="auto"/>
        <w:ind w:left="0" w:right="0" w:firstLine="187"/>
        <w:jc w:val="both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>
        <w:rPr>
          <w:rFonts w:ascii="GHEA Grapalat" w:eastAsia="Calibri" w:hAnsi="GHEA Grapalat" w:cs="Times New Roman"/>
          <w:b/>
          <w:sz w:val="24"/>
          <w:szCs w:val="24"/>
        </w:rPr>
        <w:t>6</w:t>
      </w:r>
      <w:bookmarkStart w:id="0" w:name="_GoBack"/>
      <w:bookmarkEnd w:id="0"/>
      <w:r w:rsidR="005429CC"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. Ակնկալվող արդյունքը.</w:t>
      </w:r>
    </w:p>
    <w:p w:rsidR="005429CC" w:rsidRPr="005429CC" w:rsidRDefault="005429CC" w:rsidP="005429CC">
      <w:pPr>
        <w:spacing w:line="360" w:lineRule="auto"/>
        <w:ind w:left="0" w:right="0" w:firstLine="187"/>
        <w:jc w:val="both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</w:p>
    <w:p w:rsidR="000B6408" w:rsidRDefault="005C7DBD" w:rsidP="00F95D71">
      <w:pPr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  <w:r>
        <w:rPr>
          <w:rFonts w:ascii="GHEA Grapalat" w:eastAsia="Calibri" w:hAnsi="GHEA Grapalat" w:cs="Times New Roman"/>
          <w:sz w:val="24"/>
          <w:szCs w:val="24"/>
        </w:rPr>
        <w:t>Յ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/>
        </w:rPr>
        <w:t>ուրաքանչյուր քաղաքաշինական ոլորտի մասնագետների գործունեության, շարունակական որակավորմանն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nb-NO"/>
        </w:rPr>
        <w:t xml:space="preserve"> 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/>
        </w:rPr>
        <w:t>ուղղված հետևողական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nb-NO"/>
        </w:rPr>
        <w:t xml:space="preserve"> 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/>
        </w:rPr>
        <w:t>քայլերի ապահով</w:t>
      </w:r>
      <w:r>
        <w:rPr>
          <w:rFonts w:ascii="GHEA Grapalat" w:eastAsia="Calibri" w:hAnsi="GHEA Grapalat" w:cs="Times New Roman"/>
          <w:sz w:val="24"/>
          <w:szCs w:val="24"/>
        </w:rPr>
        <w:t>ու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մ (շարունակական մասնագիտացման </w:t>
      </w:r>
      <w:r>
        <w:rPr>
          <w:rFonts w:ascii="GHEA Grapalat" w:eastAsia="Calibri" w:hAnsi="GHEA Grapalat" w:cs="Times New Roman"/>
          <w:sz w:val="24"/>
          <w:szCs w:val="24"/>
        </w:rPr>
        <w:t xml:space="preserve">զարգացումն ապահովող միջոցառումների կազմակերպում, շարունակական մասնագիտական զարգացման յուրաքանչյուր տեսակի </w:t>
      </w:r>
      <w:r>
        <w:rPr>
          <w:rFonts w:ascii="GHEA Grapalat" w:eastAsia="Calibri" w:hAnsi="GHEA Grapalat" w:cs="Times New Roman"/>
          <w:sz w:val="24"/>
          <w:szCs w:val="24"/>
        </w:rPr>
        <w:lastRenderedPageBreak/>
        <w:t>գծով կրեդիտների շնորհման չափանիշների սահմանում,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լրացուցիչ մասնագիտացման անցկաց</w:t>
      </w:r>
      <w:r>
        <w:rPr>
          <w:rFonts w:ascii="GHEA Grapalat" w:eastAsia="Calibri" w:hAnsi="GHEA Grapalat" w:cs="Times New Roman"/>
          <w:sz w:val="24"/>
          <w:szCs w:val="24"/>
        </w:rPr>
        <w:t>ու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/>
        </w:rPr>
        <w:t>մ, ուսումնական ծրագրեր, միջոցառումներ)</w:t>
      </w:r>
      <w:r w:rsidR="00576812">
        <w:rPr>
          <w:rFonts w:ascii="GHEA Grapalat" w:eastAsia="Calibri" w:hAnsi="GHEA Grapalat" w:cs="Times New Roman"/>
          <w:sz w:val="24"/>
          <w:szCs w:val="24"/>
        </w:rPr>
        <w:t>: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>
        <w:rPr>
          <w:rFonts w:ascii="GHEA Grapalat" w:eastAsia="Calibri" w:hAnsi="GHEA Grapalat" w:cs="Times New Roman"/>
          <w:sz w:val="24"/>
          <w:szCs w:val="24"/>
        </w:rPr>
        <w:t>Իսկ մ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/>
        </w:rPr>
        <w:t>ասնագետների գրանցամատյանների ստեղծմամբ և վարմամբ կդյուրինացվի քաղաքաշինական սուբյեկտներում նրանց ներգրավման գործընթացը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af-ZA"/>
        </w:rPr>
        <w:t xml:space="preserve">: </w:t>
      </w:r>
    </w:p>
    <w:p w:rsidR="005C7DBD" w:rsidRDefault="005C7DBD" w:rsidP="00F95D71">
      <w:pPr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sectPr w:rsidR="005C7DBD" w:rsidSect="00E83ACF">
      <w:headerReference w:type="default" r:id="rId7"/>
      <w:headerReference w:type="first" r:id="rId8"/>
      <w:pgSz w:w="11906" w:h="16838" w:code="9"/>
      <w:pgMar w:top="460" w:right="850" w:bottom="990" w:left="99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639" w:rsidRDefault="00B22639">
      <w:r>
        <w:separator/>
      </w:r>
    </w:p>
  </w:endnote>
  <w:endnote w:type="continuationSeparator" w:id="0">
    <w:p w:rsidR="00B22639" w:rsidRDefault="00B2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altName w:val="Courier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639" w:rsidRDefault="00B22639">
      <w:r>
        <w:separator/>
      </w:r>
    </w:p>
  </w:footnote>
  <w:footnote w:type="continuationSeparator" w:id="0">
    <w:p w:rsidR="00B22639" w:rsidRDefault="00B22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CAD" w:rsidRPr="00B87566" w:rsidRDefault="00B22639" w:rsidP="00DF35FE">
    <w:pPr>
      <w:pStyle w:val="Header"/>
      <w:jc w:val="right"/>
      <w:rPr>
        <w:rFonts w:ascii="GHEA Grapalat" w:hAnsi="GHEA Grapalat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CAD" w:rsidRPr="00D23050" w:rsidRDefault="005429CC" w:rsidP="0048304E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 w:firstLine="0"/>
      <w:jc w:val="left"/>
      <w:rPr>
        <w:rFonts w:ascii="Sylfaen" w:eastAsia="SimSun" w:hAnsi="Sylfaen" w:cs="Sylfaen"/>
        <w:b/>
      </w:rPr>
    </w:pPr>
    <w:r>
      <w:rPr>
        <w:noProof/>
      </w:rPr>
      <w:drawing>
        <wp:anchor distT="0" distB="0" distL="114935" distR="114935" simplePos="0" relativeHeight="251659264" behindDoc="0" locked="0" layoutInCell="1" allowOverlap="1" wp14:anchorId="1A5409BD" wp14:editId="25066643">
          <wp:simplePos x="0" y="0"/>
          <wp:positionH relativeFrom="column">
            <wp:posOffset>-591966</wp:posOffset>
          </wp:positionH>
          <wp:positionV relativeFrom="paragraph">
            <wp:posOffset>-26279</wp:posOffset>
          </wp:positionV>
          <wp:extent cx="454660" cy="441960"/>
          <wp:effectExtent l="0" t="0" r="0" b="0"/>
          <wp:wrapNone/>
          <wp:docPr id="196" name="Picture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3050">
      <w:rPr>
        <w:rFonts w:ascii="GHEA Grapalat" w:eastAsia="SimSun" w:hAnsi="GHEA Grapalat" w:cs="Sylfaen"/>
        <w:b/>
        <w:lang w:val="hy-AM"/>
      </w:rPr>
      <w:t>Ք</w:t>
    </w:r>
    <w:r w:rsidRPr="00D23050">
      <w:rPr>
        <w:rFonts w:ascii="GHEA Grapalat" w:eastAsia="SimSun" w:hAnsi="GHEA Grapalat" w:cs="Sylfaen"/>
        <w:bCs/>
        <w:lang w:val="hy-AM"/>
      </w:rPr>
      <w:t>աղաքաշինության</w:t>
    </w:r>
    <w:r w:rsidRPr="00D23050">
      <w:rPr>
        <w:rFonts w:ascii="GHEA Grapalat" w:eastAsia="SimSun" w:hAnsi="GHEA Grapalat" w:cs="Sylfaen"/>
        <w:bCs/>
        <w:lang w:val="hy-AM"/>
      </w:rPr>
      <w:tab/>
    </w:r>
    <w:r w:rsidRPr="00D23050">
      <w:rPr>
        <w:rFonts w:ascii="GHEA Grapalat" w:eastAsia="SimSun" w:hAnsi="GHEA Grapalat" w:cs="Sylfaen"/>
        <w:bCs/>
        <w:lang w:val="hy-AM"/>
      </w:rPr>
      <w:tab/>
    </w:r>
    <w:r w:rsidRPr="00D23050">
      <w:rPr>
        <w:rFonts w:ascii="GHEA Grapalat" w:eastAsia="SimSun" w:hAnsi="GHEA Grapalat" w:cs="Sylfaen"/>
      </w:rPr>
      <w:t>ՆԱԽԱԳԻԾ</w:t>
    </w:r>
  </w:p>
  <w:p w:rsidR="00101CAD" w:rsidRPr="00D23050" w:rsidRDefault="005429CC" w:rsidP="0048304E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 w:firstLine="0"/>
      <w:jc w:val="left"/>
      <w:rPr>
        <w:rFonts w:ascii="GHEA Grapalat" w:eastAsia="Art" w:hAnsi="GHEA Grapalat" w:cs="Art"/>
        <w:lang w:val="hy-AM"/>
      </w:rPr>
    </w:pPr>
    <w:r w:rsidRPr="00D23050">
      <w:rPr>
        <w:rFonts w:ascii="GHEA Grapalat" w:eastAsia="SimSun" w:hAnsi="GHEA Grapalat" w:cs="Sylfaen"/>
        <w:b/>
      </w:rPr>
      <w:t>Կ</w:t>
    </w:r>
    <w:r w:rsidRPr="00D23050">
      <w:rPr>
        <w:rFonts w:ascii="GHEA Grapalat" w:eastAsia="SimSun" w:hAnsi="GHEA Grapalat" w:cs="Sylfaen"/>
        <w:bCs/>
      </w:rPr>
      <w:t>ոմիտե</w:t>
    </w:r>
  </w:p>
  <w:p w:rsidR="00101CAD" w:rsidRPr="00B87566" w:rsidRDefault="00B22639">
    <w:pPr>
      <w:pStyle w:val="Header"/>
      <w:rPr>
        <w:rFonts w:ascii="Sylfaen" w:hAnsi="Sylfaen"/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04871"/>
    <w:multiLevelType w:val="hybridMultilevel"/>
    <w:tmpl w:val="C6D44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D4A7E"/>
    <w:multiLevelType w:val="hybridMultilevel"/>
    <w:tmpl w:val="B95A46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834C5B"/>
    <w:multiLevelType w:val="hybridMultilevel"/>
    <w:tmpl w:val="64D25F4E"/>
    <w:lvl w:ilvl="0" w:tplc="AB66E6A8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6" w:hanging="360"/>
      </w:pPr>
    </w:lvl>
    <w:lvl w:ilvl="2" w:tplc="0409001B" w:tentative="1">
      <w:start w:val="1"/>
      <w:numFmt w:val="lowerRoman"/>
      <w:lvlText w:val="%3."/>
      <w:lvlJc w:val="right"/>
      <w:pPr>
        <w:ind w:left="2196" w:hanging="180"/>
      </w:pPr>
    </w:lvl>
    <w:lvl w:ilvl="3" w:tplc="0409000F" w:tentative="1">
      <w:start w:val="1"/>
      <w:numFmt w:val="decimal"/>
      <w:lvlText w:val="%4."/>
      <w:lvlJc w:val="left"/>
      <w:pPr>
        <w:ind w:left="2916" w:hanging="360"/>
      </w:pPr>
    </w:lvl>
    <w:lvl w:ilvl="4" w:tplc="04090019" w:tentative="1">
      <w:start w:val="1"/>
      <w:numFmt w:val="lowerLetter"/>
      <w:lvlText w:val="%5."/>
      <w:lvlJc w:val="left"/>
      <w:pPr>
        <w:ind w:left="3636" w:hanging="360"/>
      </w:pPr>
    </w:lvl>
    <w:lvl w:ilvl="5" w:tplc="0409001B" w:tentative="1">
      <w:start w:val="1"/>
      <w:numFmt w:val="lowerRoman"/>
      <w:lvlText w:val="%6."/>
      <w:lvlJc w:val="right"/>
      <w:pPr>
        <w:ind w:left="4356" w:hanging="180"/>
      </w:pPr>
    </w:lvl>
    <w:lvl w:ilvl="6" w:tplc="0409000F" w:tentative="1">
      <w:start w:val="1"/>
      <w:numFmt w:val="decimal"/>
      <w:lvlText w:val="%7."/>
      <w:lvlJc w:val="left"/>
      <w:pPr>
        <w:ind w:left="5076" w:hanging="360"/>
      </w:pPr>
    </w:lvl>
    <w:lvl w:ilvl="7" w:tplc="04090019" w:tentative="1">
      <w:start w:val="1"/>
      <w:numFmt w:val="lowerLetter"/>
      <w:lvlText w:val="%8."/>
      <w:lvlJc w:val="left"/>
      <w:pPr>
        <w:ind w:left="5796" w:hanging="360"/>
      </w:pPr>
    </w:lvl>
    <w:lvl w:ilvl="8" w:tplc="0409001B" w:tentative="1">
      <w:start w:val="1"/>
      <w:numFmt w:val="lowerRoman"/>
      <w:lvlText w:val="%9."/>
      <w:lvlJc w:val="right"/>
      <w:pPr>
        <w:ind w:left="651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62B"/>
    <w:rsid w:val="00032E49"/>
    <w:rsid w:val="00063ED8"/>
    <w:rsid w:val="000B6408"/>
    <w:rsid w:val="000C5A13"/>
    <w:rsid w:val="000E2E80"/>
    <w:rsid w:val="000F53E3"/>
    <w:rsid w:val="000F6F06"/>
    <w:rsid w:val="00101725"/>
    <w:rsid w:val="0011607D"/>
    <w:rsid w:val="001246CD"/>
    <w:rsid w:val="00172C30"/>
    <w:rsid w:val="00184E8D"/>
    <w:rsid w:val="00194F10"/>
    <w:rsid w:val="001C75EA"/>
    <w:rsid w:val="00217A1C"/>
    <w:rsid w:val="00275FD5"/>
    <w:rsid w:val="004337C5"/>
    <w:rsid w:val="004776B1"/>
    <w:rsid w:val="0048304E"/>
    <w:rsid w:val="004B14C6"/>
    <w:rsid w:val="004C5A44"/>
    <w:rsid w:val="00515A23"/>
    <w:rsid w:val="005429CC"/>
    <w:rsid w:val="00555B75"/>
    <w:rsid w:val="00576812"/>
    <w:rsid w:val="00583982"/>
    <w:rsid w:val="005B277F"/>
    <w:rsid w:val="005C7DBD"/>
    <w:rsid w:val="00601A1D"/>
    <w:rsid w:val="006D055D"/>
    <w:rsid w:val="00714FA2"/>
    <w:rsid w:val="007351E0"/>
    <w:rsid w:val="007930E5"/>
    <w:rsid w:val="00795321"/>
    <w:rsid w:val="007C2B41"/>
    <w:rsid w:val="007D5D33"/>
    <w:rsid w:val="00832C49"/>
    <w:rsid w:val="0088002B"/>
    <w:rsid w:val="0097633B"/>
    <w:rsid w:val="009968AF"/>
    <w:rsid w:val="009A0950"/>
    <w:rsid w:val="009F613C"/>
    <w:rsid w:val="00A25A48"/>
    <w:rsid w:val="00A7562B"/>
    <w:rsid w:val="00AE60ED"/>
    <w:rsid w:val="00B22639"/>
    <w:rsid w:val="00B75622"/>
    <w:rsid w:val="00C10111"/>
    <w:rsid w:val="00C10204"/>
    <w:rsid w:val="00C42BA8"/>
    <w:rsid w:val="00C8536F"/>
    <w:rsid w:val="00CF77B4"/>
    <w:rsid w:val="00D447DC"/>
    <w:rsid w:val="00DF35FE"/>
    <w:rsid w:val="00E009FD"/>
    <w:rsid w:val="00E83ACF"/>
    <w:rsid w:val="00EF1334"/>
    <w:rsid w:val="00F37736"/>
    <w:rsid w:val="00F95D71"/>
    <w:rsid w:val="00FC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9BE08"/>
  <w15:chartTrackingRefBased/>
  <w15:docId w15:val="{1F4EB855-912E-4BA4-99B6-1405AB654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06" w:right="14" w:hanging="706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29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9CC"/>
  </w:style>
  <w:style w:type="paragraph" w:styleId="Footer">
    <w:name w:val="footer"/>
    <w:basedOn w:val="Normal"/>
    <w:link w:val="FooterChar"/>
    <w:uiPriority w:val="99"/>
    <w:unhideWhenUsed/>
    <w:rsid w:val="005429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9CC"/>
  </w:style>
  <w:style w:type="paragraph" w:styleId="ListParagraph">
    <w:name w:val="List Paragraph"/>
    <w:basedOn w:val="Normal"/>
    <w:uiPriority w:val="34"/>
    <w:qFormat/>
    <w:rsid w:val="00714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3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Nshan Martirosyan</dc:creator>
  <cp:keywords>https:/mul2-mud.gov.am/tasks/588637/oneclick/14 shmzhimnavorum.docx?token=34d9b7c93f66e5a47f5e59d837b8742e</cp:keywords>
  <dc:description/>
  <cp:lastModifiedBy>Heghine Musayelyan</cp:lastModifiedBy>
  <cp:revision>3</cp:revision>
  <dcterms:created xsi:type="dcterms:W3CDTF">2023-04-19T08:48:00Z</dcterms:created>
  <dcterms:modified xsi:type="dcterms:W3CDTF">2023-04-19T08:59:00Z</dcterms:modified>
</cp:coreProperties>
</file>